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B35B" w14:textId="299400DB" w:rsidR="00FE78B1" w:rsidRPr="00571C54" w:rsidRDefault="00FE78B1" w:rsidP="00FE78B1">
      <w:pPr>
        <w:spacing w:after="0" w:line="240" w:lineRule="auto"/>
        <w:jc w:val="center"/>
        <w:rPr>
          <w:rFonts w:ascii="Arial" w:eastAsia="Calibri" w:hAnsi="Arial" w:cs="Arial"/>
          <w:b/>
          <w:color w:val="1F497D"/>
          <w:sz w:val="28"/>
        </w:rPr>
      </w:pPr>
      <w:proofErr w:type="gramStart"/>
      <w:r>
        <w:rPr>
          <w:rFonts w:ascii="Arial" w:eastAsia="Calibri" w:hAnsi="Arial" w:cs="Arial"/>
          <w:b/>
          <w:color w:val="1F497D"/>
          <w:sz w:val="28"/>
        </w:rPr>
        <w:t>News Letter</w:t>
      </w:r>
      <w:proofErr w:type="gramEnd"/>
      <w:r>
        <w:rPr>
          <w:rFonts w:ascii="Arial" w:eastAsia="Calibri" w:hAnsi="Arial" w:cs="Arial"/>
          <w:b/>
          <w:color w:val="1F497D"/>
          <w:sz w:val="28"/>
        </w:rPr>
        <w:t>/ Member Communications Copy</w:t>
      </w:r>
    </w:p>
    <w:p w14:paraId="7F5392A8" w14:textId="77777777" w:rsidR="00FE78B1" w:rsidRDefault="00FE78B1" w:rsidP="00FE78B1">
      <w:pPr>
        <w:spacing w:after="0" w:line="240" w:lineRule="auto"/>
        <w:jc w:val="center"/>
        <w:rPr>
          <w:rFonts w:ascii="Arial" w:eastAsia="Calibri" w:hAnsi="Arial" w:cs="Arial"/>
          <w:b/>
          <w:color w:val="1F497D"/>
          <w:sz w:val="28"/>
        </w:rPr>
      </w:pPr>
      <w:r w:rsidRPr="00571C54">
        <w:rPr>
          <w:rFonts w:ascii="Arial" w:eastAsia="Calibri" w:hAnsi="Arial" w:cs="Arial"/>
          <w:b/>
          <w:color w:val="1F497D"/>
          <w:sz w:val="28"/>
        </w:rPr>
        <w:t>The GTMRx Blueprint for Change</w:t>
      </w:r>
    </w:p>
    <w:p w14:paraId="442E26C0" w14:textId="77777777" w:rsidR="00FE78B1" w:rsidRDefault="00FE78B1" w:rsidP="00FE78B1">
      <w:pPr>
        <w:spacing w:after="0" w:line="240" w:lineRule="auto"/>
        <w:jc w:val="center"/>
        <w:rPr>
          <w:rFonts w:ascii="Arial" w:eastAsia="Calibri" w:hAnsi="Arial" w:cs="Arial"/>
          <w:b/>
          <w:color w:val="1F497D"/>
          <w:sz w:val="28"/>
        </w:rPr>
      </w:pPr>
    </w:p>
    <w:p w14:paraId="399166FF" w14:textId="0332DB87" w:rsidR="00FE78B1" w:rsidRDefault="00FE78B1" w:rsidP="00FE78B1">
      <w:pPr>
        <w:spacing w:after="0" w:line="240" w:lineRule="auto"/>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Once the GTMRx Blueprint for Change officially launches on July 22, please use this copy to share in your newsletter, bulletins, or other member communications to promote this important document to get the conversation going ….and get the medications right. </w:t>
      </w:r>
    </w:p>
    <w:tbl>
      <w:tblPr>
        <w:tblStyle w:val="TableGrid"/>
        <w:tblpPr w:leftFromText="180" w:rightFromText="180" w:vertAnchor="page" w:horzAnchor="margin" w:tblpY="3781"/>
        <w:tblW w:w="0" w:type="auto"/>
        <w:tblLook w:val="04A0" w:firstRow="1" w:lastRow="0" w:firstColumn="1" w:lastColumn="0" w:noHBand="0" w:noVBand="1"/>
      </w:tblPr>
      <w:tblGrid>
        <w:gridCol w:w="1557"/>
        <w:gridCol w:w="7793"/>
      </w:tblGrid>
      <w:tr w:rsidR="00FE78B1" w14:paraId="1BF18C83" w14:textId="77777777" w:rsidTr="00FE78B1">
        <w:tc>
          <w:tcPr>
            <w:tcW w:w="1255" w:type="dxa"/>
            <w:shd w:val="clear" w:color="auto" w:fill="EDEDED" w:themeFill="accent3" w:themeFillTint="33"/>
          </w:tcPr>
          <w:p w14:paraId="445D3542" w14:textId="3C447F5E" w:rsidR="00FE78B1" w:rsidRDefault="00FE78B1" w:rsidP="00FE78B1">
            <w:pPr>
              <w:rPr>
                <w:b/>
                <w:bCs/>
              </w:rPr>
            </w:pPr>
            <w:r>
              <w:rPr>
                <w:b/>
                <w:bCs/>
              </w:rPr>
              <w:t>Heading/</w:t>
            </w:r>
            <w:proofErr w:type="spellStart"/>
            <w:r>
              <w:rPr>
                <w:b/>
                <w:bCs/>
              </w:rPr>
              <w:t>Lede</w:t>
            </w:r>
            <w:proofErr w:type="spellEnd"/>
            <w:r>
              <w:rPr>
                <w:b/>
                <w:bCs/>
              </w:rPr>
              <w:t>:</w:t>
            </w:r>
          </w:p>
        </w:tc>
        <w:tc>
          <w:tcPr>
            <w:tcW w:w="8095" w:type="dxa"/>
          </w:tcPr>
          <w:p w14:paraId="46D10C27" w14:textId="77777777" w:rsidR="00FE78B1" w:rsidRPr="00FE78B1" w:rsidRDefault="00FE78B1" w:rsidP="00FE78B1">
            <w:pPr>
              <w:rPr>
                <w:b/>
                <w:bCs/>
              </w:rPr>
            </w:pPr>
            <w:r w:rsidRPr="00FE78B1">
              <w:rPr>
                <w:b/>
                <w:bCs/>
              </w:rPr>
              <w:t>GTMRx Institute Issues “Blueprint for Change” Highlighting Need for Medication Management Reform and Steps to Achieve it</w:t>
            </w:r>
          </w:p>
          <w:p w14:paraId="5CCC1294" w14:textId="77777777" w:rsidR="00FE78B1" w:rsidRPr="00FE78B1" w:rsidRDefault="00FE78B1" w:rsidP="00FE78B1"/>
        </w:tc>
      </w:tr>
      <w:tr w:rsidR="00FE78B1" w14:paraId="68485626" w14:textId="77777777" w:rsidTr="00FE78B1">
        <w:tc>
          <w:tcPr>
            <w:tcW w:w="1255" w:type="dxa"/>
            <w:shd w:val="clear" w:color="auto" w:fill="EDEDED" w:themeFill="accent3" w:themeFillTint="33"/>
          </w:tcPr>
          <w:p w14:paraId="1CA841C7" w14:textId="77777777" w:rsidR="00FE78B1" w:rsidRDefault="00FE78B1" w:rsidP="00FE78B1">
            <w:pPr>
              <w:rPr>
                <w:b/>
                <w:bCs/>
              </w:rPr>
            </w:pPr>
            <w:r>
              <w:rPr>
                <w:b/>
                <w:bCs/>
              </w:rPr>
              <w:t>Body:</w:t>
            </w:r>
          </w:p>
        </w:tc>
        <w:tc>
          <w:tcPr>
            <w:tcW w:w="8095" w:type="dxa"/>
          </w:tcPr>
          <w:p w14:paraId="7DF02E01" w14:textId="77777777" w:rsidR="00FE78B1" w:rsidRPr="00FE78B1" w:rsidRDefault="00FE78B1" w:rsidP="00FE78B1">
            <w:r w:rsidRPr="00FE78B1">
              <w:t>In the current health care climate, preventative medicine has taken center stage, and with it an important debate around the need for</w:t>
            </w:r>
            <w:hyperlink r:id="rId10" w:history="1">
              <w:r w:rsidRPr="00FE78B1">
                <w:rPr>
                  <w:rStyle w:val="Hyperlink"/>
                </w:rPr>
                <w:t xml:space="preserve"> Comprehensive Medication Management (CMM)</w:t>
              </w:r>
            </w:hyperlink>
            <w:r w:rsidRPr="00FE78B1">
              <w:t xml:space="preserve">, a practice level, team-based process. The </w:t>
            </w:r>
            <w:hyperlink r:id="rId11" w:history="1">
              <w:r w:rsidRPr="00FE78B1">
                <w:rPr>
                  <w:rStyle w:val="Hyperlink"/>
                </w:rPr>
                <w:t>GTMRx Blueprint for Change</w:t>
              </w:r>
            </w:hyperlink>
            <w:r w:rsidRPr="00FE78B1">
              <w:t xml:space="preserve"> outlines steps for reform, including an evidence-based process of care, CMM, that personalizes the approach and leads to better care, reduced costs and improved patient satisfaction and provider work life by engaging everyone involved in patient care—from physicians to clinical pharmacists, health plan sponsors, providers, consumer groups and policymakers.</w:t>
            </w:r>
            <w:r>
              <w:t xml:space="preserve"> </w:t>
            </w:r>
            <w:hyperlink r:id="rId12" w:history="1">
              <w:r w:rsidRPr="00FE78B1">
                <w:rPr>
                  <w:rStyle w:val="Hyperlink"/>
                </w:rPr>
                <w:t>Read here.</w:t>
              </w:r>
            </w:hyperlink>
          </w:p>
          <w:p w14:paraId="0221DDD8" w14:textId="77777777" w:rsidR="00FE78B1" w:rsidRPr="00FE78B1" w:rsidRDefault="00FE78B1" w:rsidP="00FE78B1"/>
        </w:tc>
      </w:tr>
    </w:tbl>
    <w:p w14:paraId="3560AD0E" w14:textId="749AA886" w:rsidR="00FE78B1" w:rsidRPr="00571C54" w:rsidRDefault="00FE78B1" w:rsidP="00FE78B1">
      <w:pPr>
        <w:spacing w:after="0" w:line="240" w:lineRule="auto"/>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 </w:t>
      </w:r>
    </w:p>
    <w:p w14:paraId="6B7B6DEB" w14:textId="476F5E2A" w:rsidR="00FE78B1" w:rsidRDefault="00FE78B1" w:rsidP="00663DBC">
      <w:pPr>
        <w:rPr>
          <w:b/>
          <w:bCs/>
        </w:rPr>
      </w:pPr>
    </w:p>
    <w:p w14:paraId="167C4CF9" w14:textId="77777777" w:rsidR="009F246B" w:rsidRDefault="009F246B" w:rsidP="00663DBC">
      <w:pPr>
        <w:rPr>
          <w:b/>
          <w:bCs/>
        </w:rPr>
      </w:pPr>
    </w:p>
    <w:p w14:paraId="4DC873C5" w14:textId="5E869127" w:rsidR="00663DBC" w:rsidRPr="00663DBC" w:rsidRDefault="00663DBC" w:rsidP="00663DBC">
      <w:r w:rsidRPr="00663DBC">
        <w:rPr>
          <w:b/>
          <w:bCs/>
        </w:rPr>
        <w:t xml:space="preserve">GTMRx Institute Issues </w:t>
      </w:r>
      <w:r>
        <w:rPr>
          <w:b/>
          <w:bCs/>
        </w:rPr>
        <w:t>“Blueprint for Change”</w:t>
      </w:r>
      <w:r w:rsidRPr="00663DBC">
        <w:rPr>
          <w:b/>
          <w:bCs/>
        </w:rPr>
        <w:t xml:space="preserve"> Highlighting Need for Medication Management Reform and Steps to Achieve it</w:t>
      </w:r>
    </w:p>
    <w:p w14:paraId="72701FCA" w14:textId="29D5D78E" w:rsidR="00663DBC" w:rsidRDefault="00663DBC">
      <w:r>
        <w:t>In the current health care climate</w:t>
      </w:r>
      <w:r w:rsidRPr="00663DBC">
        <w:t>, preventative medicine has taken center stage, and with it an important debate around the need for</w:t>
      </w:r>
      <w:hyperlink r:id="rId13" w:history="1">
        <w:r w:rsidRPr="00663DBC">
          <w:rPr>
            <w:rStyle w:val="Hyperlink"/>
          </w:rPr>
          <w:t xml:space="preserve"> Comprehensive Medication Management (CMM)</w:t>
        </w:r>
      </w:hyperlink>
      <w:r w:rsidRPr="00663DBC">
        <w:t>, a practice level, team-based proces</w:t>
      </w:r>
      <w:r>
        <w:t>s</w:t>
      </w:r>
      <w:r w:rsidRPr="00663DBC">
        <w:t>.</w:t>
      </w:r>
      <w:r>
        <w:t xml:space="preserve"> </w:t>
      </w:r>
      <w:r w:rsidRPr="00663DBC">
        <w:rPr>
          <w:b/>
          <w:bCs/>
        </w:rPr>
        <w:t xml:space="preserve">The GTMRx Blueprint for Change </w:t>
      </w:r>
      <w:r w:rsidRPr="00663DBC">
        <w:t xml:space="preserve">outlines steps for reform, including </w:t>
      </w:r>
      <w:r>
        <w:t>an</w:t>
      </w:r>
      <w:r w:rsidRPr="00663DBC">
        <w:t xml:space="preserve"> evidence-based process of care</w:t>
      </w:r>
      <w:r>
        <w:t>, CMM,</w:t>
      </w:r>
      <w:r w:rsidRPr="00663DBC">
        <w:t xml:space="preserve"> that personalizes the approach and leads to better care, reduced costs and improved patient satisfaction and provider work life</w:t>
      </w:r>
      <w:r>
        <w:t xml:space="preserve"> by</w:t>
      </w:r>
      <w:r w:rsidRPr="00663DBC">
        <w:t xml:space="preserve"> engag</w:t>
      </w:r>
      <w:r>
        <w:t>ing</w:t>
      </w:r>
      <w:r w:rsidRPr="00663DBC">
        <w:t xml:space="preserve"> everyone involved in patient care—from physicians to clinical pharmacists, health plan sponsors, providers, consumer groups and policymakers.</w:t>
      </w:r>
    </w:p>
    <w:sectPr w:rsidR="00663DB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17F4" w14:textId="77777777" w:rsidR="008D4FFD" w:rsidRDefault="008D4FFD" w:rsidP="00FE78B1">
      <w:pPr>
        <w:spacing w:after="0" w:line="240" w:lineRule="auto"/>
      </w:pPr>
      <w:r>
        <w:separator/>
      </w:r>
    </w:p>
  </w:endnote>
  <w:endnote w:type="continuationSeparator" w:id="0">
    <w:p w14:paraId="0E223D21" w14:textId="77777777" w:rsidR="008D4FFD" w:rsidRDefault="008D4FFD" w:rsidP="00FE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D07A" w14:textId="77777777" w:rsidR="008D4FFD" w:rsidRDefault="008D4FFD" w:rsidP="00FE78B1">
      <w:pPr>
        <w:spacing w:after="0" w:line="240" w:lineRule="auto"/>
      </w:pPr>
      <w:r>
        <w:separator/>
      </w:r>
    </w:p>
  </w:footnote>
  <w:footnote w:type="continuationSeparator" w:id="0">
    <w:p w14:paraId="05428A04" w14:textId="77777777" w:rsidR="008D4FFD" w:rsidRDefault="008D4FFD" w:rsidP="00FE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A804" w14:textId="5242E6B6" w:rsidR="00FE78B1" w:rsidRDefault="00FE78B1">
    <w:pPr>
      <w:pStyle w:val="Header"/>
    </w:pPr>
    <w:r>
      <w:rPr>
        <w:noProof/>
      </w:rPr>
      <w:drawing>
        <wp:anchor distT="0" distB="0" distL="114300" distR="114300" simplePos="0" relativeHeight="251659264" behindDoc="1" locked="0" layoutInCell="1" allowOverlap="1" wp14:anchorId="5CFF97E2" wp14:editId="5F24A582">
          <wp:simplePos x="0" y="0"/>
          <wp:positionH relativeFrom="column">
            <wp:posOffset>-180975</wp:posOffset>
          </wp:positionH>
          <wp:positionV relativeFrom="paragraph">
            <wp:posOffset>-342900</wp:posOffset>
          </wp:positionV>
          <wp:extent cx="1080497" cy="742950"/>
          <wp:effectExtent l="0" t="0" r="5715" b="0"/>
          <wp:wrapNone/>
          <wp:docPr id="127617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0497" cy="742950"/>
                  </a:xfrm>
                  <a:prstGeom prst="rect">
                    <a:avLst/>
                  </a:prstGeom>
                </pic:spPr>
              </pic:pic>
            </a:graphicData>
          </a:graphic>
        </wp:anchor>
      </w:drawing>
    </w:r>
  </w:p>
  <w:p w14:paraId="059F33CF" w14:textId="6B99AFFA" w:rsidR="00FE78B1" w:rsidRDefault="00FE78B1">
    <w:pPr>
      <w:pStyle w:val="Header"/>
    </w:pPr>
  </w:p>
  <w:p w14:paraId="0200FE30" w14:textId="7172A3AA" w:rsidR="00FE78B1" w:rsidRDefault="00FE78B1">
    <w:pPr>
      <w:pStyle w:val="Header"/>
    </w:pPr>
  </w:p>
  <w:p w14:paraId="55FD9709" w14:textId="77777777" w:rsidR="00FE78B1" w:rsidRDefault="00FE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628BF"/>
    <w:multiLevelType w:val="multilevel"/>
    <w:tmpl w:val="C4A4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A6FD7"/>
    <w:multiLevelType w:val="multilevel"/>
    <w:tmpl w:val="B89CD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655D26"/>
    <w:multiLevelType w:val="multilevel"/>
    <w:tmpl w:val="A0AA3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241A6"/>
    <w:multiLevelType w:val="multilevel"/>
    <w:tmpl w:val="9858D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BC"/>
    <w:rsid w:val="00455C28"/>
    <w:rsid w:val="00663DBC"/>
    <w:rsid w:val="008D4FFD"/>
    <w:rsid w:val="009F246B"/>
    <w:rsid w:val="00E245F9"/>
    <w:rsid w:val="00FE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FFE1"/>
  <w15:chartTrackingRefBased/>
  <w15:docId w15:val="{F7E15EE6-9EBF-4D41-A9CD-6C067A73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DBC"/>
    <w:rPr>
      <w:color w:val="0563C1" w:themeColor="hyperlink"/>
      <w:u w:val="single"/>
    </w:rPr>
  </w:style>
  <w:style w:type="character" w:styleId="UnresolvedMention">
    <w:name w:val="Unresolved Mention"/>
    <w:basedOn w:val="DefaultParagraphFont"/>
    <w:uiPriority w:val="99"/>
    <w:semiHidden/>
    <w:unhideWhenUsed/>
    <w:rsid w:val="00663DBC"/>
    <w:rPr>
      <w:color w:val="605E5C"/>
      <w:shd w:val="clear" w:color="auto" w:fill="E1DFDD"/>
    </w:rPr>
  </w:style>
  <w:style w:type="table" w:styleId="TableGrid">
    <w:name w:val="Table Grid"/>
    <w:basedOn w:val="TableNormal"/>
    <w:uiPriority w:val="39"/>
    <w:rsid w:val="00FE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B1"/>
  </w:style>
  <w:style w:type="paragraph" w:styleId="Footer">
    <w:name w:val="footer"/>
    <w:basedOn w:val="Normal"/>
    <w:link w:val="FooterChar"/>
    <w:uiPriority w:val="99"/>
    <w:unhideWhenUsed/>
    <w:rsid w:val="00FE7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tmr.org/what-is-the-comprehensive-medication-management-proc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8OEWW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8OEWW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tmr.org/what-is-the-comprehensive-medication-management-pro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7508A2A57EB4CA3B3777CAE93900D" ma:contentTypeVersion="13" ma:contentTypeDescription="Create a new document." ma:contentTypeScope="" ma:versionID="7bb653aca2c49ffb7154327a4f5e0e58">
  <xsd:schema xmlns:xsd="http://www.w3.org/2001/XMLSchema" xmlns:xs="http://www.w3.org/2001/XMLSchema" xmlns:p="http://schemas.microsoft.com/office/2006/metadata/properties" xmlns:ns3="b6b49912-450b-415c-8912-78fe4fe22ddb" xmlns:ns4="cc119944-50e0-47c1-bd64-174b1d87686a" targetNamespace="http://schemas.microsoft.com/office/2006/metadata/properties" ma:root="true" ma:fieldsID="3d6e9c0f933336b9b8ed10415a9431ab" ns3:_="" ns4:_="">
    <xsd:import namespace="b6b49912-450b-415c-8912-78fe4fe22ddb"/>
    <xsd:import namespace="cc119944-50e0-47c1-bd64-174b1d876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49912-450b-415c-8912-78fe4fe22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19944-50e0-47c1-bd64-174b1d8768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E4CA3-4C04-4F0B-BAF0-98EB1406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49912-450b-415c-8912-78fe4fe22ddb"/>
    <ds:schemaRef ds:uri="cc119944-50e0-47c1-bd64-174b1d876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E9589-C893-44DC-B9E8-AB1B6A62A59B}">
  <ds:schemaRefs>
    <ds:schemaRef ds:uri="http://schemas.microsoft.com/sharepoint/v3/contenttype/forms"/>
  </ds:schemaRefs>
</ds:datastoreItem>
</file>

<file path=customXml/itemProps3.xml><?xml version="1.0" encoding="utf-8"?>
<ds:datastoreItem xmlns:ds="http://schemas.openxmlformats.org/officeDocument/2006/customXml" ds:itemID="{9B09A57D-010B-4D4B-9AAF-5FEE0DBBD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Bascle</dc:creator>
  <cp:keywords/>
  <dc:description/>
  <cp:lastModifiedBy>Nataleigh Cromwell</cp:lastModifiedBy>
  <cp:revision>2</cp:revision>
  <dcterms:created xsi:type="dcterms:W3CDTF">2020-07-10T20:14:00Z</dcterms:created>
  <dcterms:modified xsi:type="dcterms:W3CDTF">2020-07-10T20:14:00Z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0x0101004FF7508A2A57EB4CA3B3777CAE93900D</vt:lpwstr>
  </property>
</Properties>
</file>