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61EC" w14:textId="77777777" w:rsidR="00477661" w:rsidRDefault="00477661" w:rsidP="004F336F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51761F37" w14:textId="77777777" w:rsidR="00477661" w:rsidRDefault="00477661" w:rsidP="004F336F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0E664AE" w14:textId="77777777" w:rsidR="00477661" w:rsidRDefault="00477661" w:rsidP="004F336F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21F50357" w14:textId="77777777" w:rsidR="00477661" w:rsidRPr="00477661" w:rsidRDefault="00477661" w:rsidP="004F336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</w:p>
    <w:p w14:paraId="2F642B11" w14:textId="161551AE" w:rsidR="00477661" w:rsidRPr="00477661" w:rsidRDefault="00D15324" w:rsidP="004F336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M. </w:t>
      </w:r>
      <w:r w:rsidR="004F336F" w:rsidRPr="00477661">
        <w:rPr>
          <w:rFonts w:ascii="News Gothic MT" w:hAnsi="News Gothic MT" w:cs="Arial"/>
          <w:b/>
          <w:color w:val="4472C4" w:themeColor="accent1"/>
          <w:sz w:val="40"/>
          <w:szCs w:val="40"/>
        </w:rPr>
        <w:t>Shawn McFarland, Pharm.D.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, FCCP, BCACP</w:t>
      </w:r>
    </w:p>
    <w:p w14:paraId="414A6D69" w14:textId="03E3B9D4" w:rsidR="004F336F" w:rsidRDefault="00D15324" w:rsidP="004F336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D15324">
        <w:rPr>
          <w:rFonts w:ascii="News Gothic MT" w:hAnsi="News Gothic MT" w:cs="Arial"/>
          <w:b/>
          <w:color w:val="4472C4" w:themeColor="accent1"/>
          <w:sz w:val="28"/>
          <w:szCs w:val="28"/>
        </w:rPr>
        <w:t>National Clinical Pharmacy Practice Program Manager</w:t>
      </w:r>
      <w:r w:rsidR="00D84750">
        <w:rPr>
          <w:rFonts w:ascii="News Gothic MT" w:hAnsi="News Gothic MT" w:cs="Arial"/>
          <w:b/>
          <w:color w:val="4472C4" w:themeColor="accent1"/>
          <w:sz w:val="28"/>
          <w:szCs w:val="28"/>
        </w:rPr>
        <w:t>,</w:t>
      </w:r>
      <w:bookmarkStart w:id="0" w:name="_GoBack"/>
      <w:bookmarkEnd w:id="0"/>
      <w:r w:rsidRPr="00D15324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 Clinical Practice Integration and Model Advancement</w:t>
      </w: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 w:rsidRPr="00D15324">
        <w:rPr>
          <w:rFonts w:ascii="News Gothic MT" w:hAnsi="News Gothic MT" w:cs="Arial"/>
          <w:b/>
          <w:color w:val="4472C4" w:themeColor="accent1"/>
          <w:sz w:val="28"/>
          <w:szCs w:val="28"/>
        </w:rPr>
        <w:t>Clinical Pharmacy Practice Office</w:t>
      </w: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 w:rsidRPr="00D15324">
        <w:rPr>
          <w:rFonts w:ascii="News Gothic MT" w:hAnsi="News Gothic MT" w:cs="Arial"/>
          <w:b/>
          <w:color w:val="4472C4" w:themeColor="accent1"/>
          <w:sz w:val="28"/>
          <w:szCs w:val="28"/>
        </w:rPr>
        <w:t>Pharmacy Benefits Management Services</w:t>
      </w: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 w:rsidRPr="00D15324">
        <w:rPr>
          <w:rFonts w:ascii="News Gothic MT" w:hAnsi="News Gothic MT" w:cs="Arial"/>
          <w:b/>
          <w:color w:val="4472C4" w:themeColor="accent1"/>
          <w:sz w:val="28"/>
          <w:szCs w:val="28"/>
        </w:rPr>
        <w:t>Veterans Health Administration</w:t>
      </w:r>
    </w:p>
    <w:p w14:paraId="0BC17714" w14:textId="77777777" w:rsidR="00D15324" w:rsidRPr="00477661" w:rsidRDefault="00D15324" w:rsidP="004F336F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</w:p>
    <w:p w14:paraId="5F542E75" w14:textId="77777777" w:rsidR="004F336F" w:rsidRDefault="004F336F" w:rsidP="004F336F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B872C20" w14:textId="4F5899BD" w:rsidR="004F336F" w:rsidRPr="00D84750" w:rsidRDefault="004F336F" w:rsidP="00D847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D8475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B49780" wp14:editId="624B3F88">
            <wp:simplePos x="0" y="0"/>
            <wp:positionH relativeFrom="column">
              <wp:posOffset>4183380</wp:posOffset>
            </wp:positionH>
            <wp:positionV relativeFrom="paragraph">
              <wp:posOffset>62865</wp:posOffset>
            </wp:positionV>
            <wp:extent cx="1470025" cy="14909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5324" w:rsidRPr="00D84750">
        <w:rPr>
          <w:rFonts w:asciiTheme="minorHAnsi" w:hAnsiTheme="minorHAnsi" w:cstheme="minorHAnsi"/>
          <w:noProof/>
          <w:sz w:val="22"/>
          <w:szCs w:val="22"/>
        </w:rPr>
        <w:t>Dr.</w:t>
      </w:r>
      <w:r w:rsidRPr="00D84750">
        <w:rPr>
          <w:rFonts w:asciiTheme="minorHAnsi" w:hAnsiTheme="minorHAnsi" w:cstheme="minorHAnsi"/>
          <w:bCs/>
          <w:sz w:val="22"/>
          <w:szCs w:val="22"/>
        </w:rPr>
        <w:t xml:space="preserve"> McFarland is</w:t>
      </w:r>
      <w:r w:rsidR="00D15324" w:rsidRPr="00D847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750" w:rsidRPr="00D84750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D84750">
        <w:rPr>
          <w:rFonts w:asciiTheme="minorHAnsi" w:hAnsiTheme="minorHAnsi" w:cstheme="minorHAnsi"/>
          <w:bCs/>
          <w:sz w:val="22"/>
          <w:szCs w:val="22"/>
        </w:rPr>
        <w:t xml:space="preserve">manager for the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ational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linical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harmacy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ractice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rogram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D84750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and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the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linical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ractice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ntegration and </w:t>
      </w:r>
      <w:r w:rsid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odel </w:t>
      </w:r>
      <w:r w:rsidR="00D84750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dvancement</w:t>
      </w:r>
      <w:r w:rsidR="00D84750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for the 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Clinical Pharmacy Practice Office</w:t>
      </w:r>
      <w:r w:rsidR="00D84750" w:rsidRPr="00D84750">
        <w:rPr>
          <w:rFonts w:asciiTheme="minorHAnsi" w:hAnsiTheme="minorHAnsi" w:cstheme="minorHAnsi"/>
          <w:sz w:val="22"/>
          <w:szCs w:val="22"/>
        </w:rPr>
        <w:t xml:space="preserve"> o</w:t>
      </w:r>
      <w:r w:rsidR="00D84750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 the 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Pharmacy Benefits Management Services</w:t>
      </w:r>
      <w:r w:rsidR="00D84750" w:rsidRPr="00D84750">
        <w:rPr>
          <w:rFonts w:asciiTheme="minorHAnsi" w:hAnsiTheme="minorHAnsi" w:cstheme="minorHAnsi"/>
          <w:sz w:val="22"/>
          <w:szCs w:val="22"/>
        </w:rPr>
        <w:t xml:space="preserve"> at 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Veterans Health Administration</w:t>
      </w:r>
      <w:r w:rsidR="00D84750" w:rsidRPr="00D84750">
        <w:rPr>
          <w:rFonts w:asciiTheme="minorHAnsi" w:hAnsiTheme="minorHAnsi" w:cstheme="minorHAnsi"/>
          <w:sz w:val="22"/>
          <w:szCs w:val="22"/>
        </w:rPr>
        <w:t xml:space="preserve"> in </w:t>
      </w:r>
      <w:r w:rsidR="00D15324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Washington D.C.</w:t>
      </w:r>
      <w:r w:rsidR="00D84750" w:rsidRPr="00D8475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In the past, Dr. McFarland was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responsible for the direction of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linical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harmacy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ervices within the Tennessee Valley Health Care System. This includes supervision of 50+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linical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harmacy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pecialist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at the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two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main facilities and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13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outlying community-based outpatient clinics. In addition, he oversees the coordination of the second-year ambulatory care residency program and guidance of all student operations from the Tennessee Valley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’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 </w:t>
      </w:r>
      <w:r w:rsidR="00E94264"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six</w:t>
      </w:r>
      <w:r w:rsidRPr="00D8475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affiliate colleges of pharmacy. He was previously an associate professor at the University of Tennessee and a clinical pharmacist in the local VA and the Murfreesboro Medical Clinic and Surgical Center. He obtained his BS in Pre-Pharmacy Studies from the Middle Tennessee State University, and his Pharm.D. from the University of Tennessee in the year 2000.</w:t>
      </w:r>
      <w:r w:rsidRPr="00854D1B">
        <w:rPr>
          <w:rFonts w:cstheme="minorHAnsi"/>
          <w:bCs/>
          <w:color w:val="000000" w:themeColor="text1"/>
        </w:rPr>
        <w:t xml:space="preserve"> </w:t>
      </w:r>
    </w:p>
    <w:p w14:paraId="3A1BA647" w14:textId="77777777" w:rsidR="00C93054" w:rsidRDefault="00C93054"/>
    <w:sectPr w:rsidR="00C930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D793" w14:textId="77777777" w:rsidR="00D57FEB" w:rsidRDefault="00D57FEB" w:rsidP="00477661">
      <w:pPr>
        <w:spacing w:after="0" w:line="240" w:lineRule="auto"/>
      </w:pPr>
      <w:r>
        <w:separator/>
      </w:r>
    </w:p>
  </w:endnote>
  <w:endnote w:type="continuationSeparator" w:id="0">
    <w:p w14:paraId="783CE144" w14:textId="77777777" w:rsidR="00D57FEB" w:rsidRDefault="00D57FEB" w:rsidP="0047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180F" w14:textId="77777777" w:rsidR="00D57FEB" w:rsidRDefault="00D57FEB" w:rsidP="00477661">
      <w:pPr>
        <w:spacing w:after="0" w:line="240" w:lineRule="auto"/>
      </w:pPr>
      <w:r>
        <w:separator/>
      </w:r>
    </w:p>
  </w:footnote>
  <w:footnote w:type="continuationSeparator" w:id="0">
    <w:p w14:paraId="74745C47" w14:textId="77777777" w:rsidR="00D57FEB" w:rsidRDefault="00D57FEB" w:rsidP="0047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481F" w14:textId="47C4F15F" w:rsidR="00477661" w:rsidRDefault="0047766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96CB5A2" wp14:editId="6F6BFAB1">
          <wp:simplePos x="0" y="0"/>
          <wp:positionH relativeFrom="column">
            <wp:posOffset>2543175</wp:posOffset>
          </wp:positionH>
          <wp:positionV relativeFrom="paragraph">
            <wp:posOffset>-76200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56"/>
    <w:rsid w:val="001F2339"/>
    <w:rsid w:val="00477661"/>
    <w:rsid w:val="004F336F"/>
    <w:rsid w:val="007934BC"/>
    <w:rsid w:val="00A82C48"/>
    <w:rsid w:val="00B318E6"/>
    <w:rsid w:val="00C65056"/>
    <w:rsid w:val="00C93054"/>
    <w:rsid w:val="00D15324"/>
    <w:rsid w:val="00D57FEB"/>
    <w:rsid w:val="00D84750"/>
    <w:rsid w:val="00E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2B3E2"/>
  <w15:chartTrackingRefBased/>
  <w15:docId w15:val="{9573A419-79BB-4135-90F9-EBB0B80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61"/>
  </w:style>
  <w:style w:type="paragraph" w:styleId="Footer">
    <w:name w:val="footer"/>
    <w:basedOn w:val="Normal"/>
    <w:link w:val="FooterChar"/>
    <w:uiPriority w:val="99"/>
    <w:unhideWhenUsed/>
    <w:rsid w:val="0047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61"/>
  </w:style>
  <w:style w:type="paragraph" w:styleId="NormalWeb">
    <w:name w:val="Normal (Web)"/>
    <w:basedOn w:val="Normal"/>
    <w:uiPriority w:val="99"/>
    <w:unhideWhenUsed/>
    <w:rsid w:val="00D1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4</cp:revision>
  <dcterms:created xsi:type="dcterms:W3CDTF">2019-08-12T16:47:00Z</dcterms:created>
  <dcterms:modified xsi:type="dcterms:W3CDTF">2019-08-23T18:08:00Z</dcterms:modified>
</cp:coreProperties>
</file>